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Miras Taksim Sözleşmesi: Miras Paylaşımı Nasıl Yapılır? Kapsamlı Rehber</w:t>
      </w:r>
      <w:bookmarkEnd w:id="0"/>
    </w:p>
    <w:p>
      <w:pPr>
        <w:pStyle w:val="Heading2"/>
      </w:pPr>
      <w:r>
        <w:rPr/>
        <w:t xml:space="preserve">Miras Taksimi (Paylaşımı) Nedir?</w:t>
      </w:r>
    </w:p>
    <w:p>
      <w:pPr/>
      <w:r>
        <w:rPr/>
        <w:t xml:space="preserve">Miras taksimi, miras bırakanın (muris) vefatı üzerine geride kalan malvarlığının (tereke) yasal ve atanmış mirasçılar arasında payları oranında bölüşülmesidir. Bu paylaşım, Türk Medeni Kanunu'nda düzenlenen kurallar çerçevesinde yapılır ve mirasçıların tereke üzerindeki elbirliği mülkiyetini sona erdirerek kişisel mülkiyetlerine geçirmelerini sağlar.</w:t>
      </w:r>
    </w:p>
    <w:p>
      <w:pPr>
        <w:pStyle w:val="Heading2"/>
      </w:pPr>
      <w:r>
        <w:rPr/>
        <w:t xml:space="preserve">Mirasın Paylaşılması Yöntemleri</w:t>
      </w:r>
    </w:p>
    <w:p>
      <w:pPr/>
      <w:r>
        <w:rPr/>
        <w:t xml:space="preserve">Miras taksimi temel olarak iki şekilde gerçekleştirilebilir: Anlaşmalı (rızai) taksim ve yargısal (davalı) taksim.</w:t>
      </w:r>
    </w:p>
    <w:p>
      <w:pPr>
        <w:pStyle w:val="Heading3"/>
      </w:pPr>
      <w:r>
        <w:rPr/>
        <w:t xml:space="preserve">1. Anlaşmalı Miras Taksimi (Rızai Taksim)</w:t>
      </w:r>
    </w:p>
    <w:p>
      <w:pPr/>
      <w:r>
        <w:rPr/>
        <w:t xml:space="preserve">Mirasçıların tamamının bir araya gelerek terekenin nasıl paylaşılacağı konusunda ortak bir karara varmaları durumunda anlaşmalı taksim söz konusu olur. Bu, en hızlı ve en az maliyetli yöntemdir.</w:t>
      </w:r>
    </w:p>
    <w:p>
      <w:pPr>
        <w:numPr>
          <w:ilvl w:val="0"/>
          <w:numId w:val="1"/>
        </w:numPr>
      </w:pPr>
      <w:r>
        <w:rPr>
          <w:b w:val="1"/>
          <w:bCs w:val="1"/>
        </w:rPr>
        <w:t xml:space="preserve">Geçerlilik Şartı:</w:t>
      </w:r>
      <w:r>
        <w:rPr/>
        <w:t xml:space="preserve"> Türk Medeni Kanunu'nun 676. maddesine göre, miras taksim sözleşmesinin geçerli olabilmesi için yazılı şekilde yapılması ve tüm mirasçıların katılımıyla imzalanması zorunludur.</w:t>
      </w:r>
    </w:p>
    <w:p>
      <w:pPr>
        <w:numPr>
          <w:ilvl w:val="0"/>
          <w:numId w:val="1"/>
        </w:numPr>
      </w:pPr>
      <w:r>
        <w:rPr>
          <w:b w:val="1"/>
          <w:bCs w:val="1"/>
        </w:rPr>
        <w:t xml:space="preserve">Noter Şartı:</w:t>
      </w:r>
      <w:r>
        <w:rPr/>
        <w:t xml:space="preserve"> Sözleşmenin noterde yapılması zorunlu değildir. Ancak ispat gücü açısından ve ileride doğabilecek uyuşmazlıkları önlemek adına noter huzurunda yapılması tavsiye edilir.</w:t>
      </w:r>
    </w:p>
    <w:p>
      <w:pPr>
        <w:numPr>
          <w:ilvl w:val="0"/>
          <w:numId w:val="1"/>
        </w:numPr>
      </w:pPr>
      <w:r>
        <w:rPr>
          <w:b w:val="1"/>
          <w:bCs w:val="1"/>
        </w:rPr>
        <w:t xml:space="preserve">Kapsam:</w:t>
      </w:r>
      <w:r>
        <w:rPr/>
        <w:t xml:space="preserve"> Sözleşmede terekeye dahil olan tüm malvarlığı (taşınmazlar, banka hesapları, araçlar, hisse senetleri vb.) ve bu malların hangi mirasçıya bırakılacağı açıkça belirtilmelidir.</w:t>
      </w:r>
    </w:p>
    <w:p>
      <w:pPr>
        <w:pStyle w:val="Heading3"/>
      </w:pPr>
      <w:r>
        <w:rPr/>
        <w:t xml:space="preserve">2. Yargısal Miras Taksimi (Taksim Davası)</w:t>
      </w:r>
    </w:p>
    <w:p>
      <w:pPr/>
      <w:r>
        <w:rPr/>
        <w:t xml:space="preserve">Mirasçılar arasında paylaşım konusunda bir anlaşma sağlanamazsa, mirasçılardan herhangi biri Sulh Hukuk Mahkemesi'ne başvurarak mirasın mahkeme kararıyla paylaştırılmasını talep edebilir. Bu davaya 'Ortaklığın Giderilmesi (İzale-i Şüyu)' veya 'Mirasın Taksimi Davası' denir.</w:t>
      </w:r>
    </w:p>
    <w:p>
      <w:pPr>
        <w:numPr>
          <w:ilvl w:val="0"/>
          <w:numId w:val="2"/>
        </w:numPr>
      </w:pPr>
      <w:r>
        <w:rPr>
          <w:b w:val="1"/>
          <w:bCs w:val="1"/>
        </w:rPr>
        <w:t xml:space="preserve">Süreç:</w:t>
      </w:r>
      <w:r>
        <w:rPr/>
        <w:t xml:space="preserve"> Mahkeme öncelikle terekeye dahil tüm malvarlığını tespit eder, değerlerini belirler ve mirasçıların veraset ilamındaki paylarını hesaplar.</w:t>
      </w:r>
    </w:p>
    <w:p>
      <w:pPr>
        <w:numPr>
          <w:ilvl w:val="0"/>
          <w:numId w:val="2"/>
        </w:numPr>
      </w:pPr>
      <w:r>
        <w:rPr>
          <w:b w:val="1"/>
          <w:bCs w:val="1"/>
        </w:rPr>
        <w:t xml:space="preserve">Aynen Taksim:</w:t>
      </w:r>
      <w:r>
        <w:rPr/>
        <w:t xml:space="preserve"> Eğer malvarlığı fiziken bölünmeye elverişli ise (örneğin, büyük bir arsa), mahkeme her mirasçının payına düşecek şekilde aynen taksim kararı verebilir.</w:t>
      </w:r>
    </w:p>
    <w:p>
      <w:pPr>
        <w:numPr>
          <w:ilvl w:val="0"/>
          <w:numId w:val="2"/>
        </w:numPr>
      </w:pPr>
      <w:r>
        <w:rPr>
          <w:b w:val="1"/>
          <w:bCs w:val="1"/>
        </w:rPr>
        <w:t xml:space="preserve">Satış Yoluyla Taksim:</w:t>
      </w:r>
      <w:r>
        <w:rPr/>
        <w:t xml:space="preserve"> Malvarlığı fiziken bölünmeye uygun değilse (örneğin, tek bir daire), mahkeme malın açık artırma yoluyla satılmasına ve elde edilen gelirin mirasçılar arasında payları oranında dağıtılmasına karar verir.</w:t>
      </w:r>
    </w:p>
    <w:p>
      <w:pPr>
        <w:pStyle w:val="Heading2"/>
      </w:pPr>
      <w:r>
        <w:rPr/>
        <w:t xml:space="preserve">Miras Taksim Sözleşmesinin İçeriğinde Neler Olmalı?</w:t>
      </w:r>
    </w:p>
    <w:p>
      <w:pPr>
        <w:numPr>
          <w:ilvl w:val="0"/>
          <w:numId w:val="3"/>
        </w:numPr>
      </w:pPr>
      <w:r>
        <w:rPr/>
        <w:t xml:space="preserve">Murisin (miras bırakanın) bilgileri.</w:t>
      </w:r>
    </w:p>
    <w:p>
      <w:pPr>
        <w:numPr>
          <w:ilvl w:val="0"/>
          <w:numId w:val="3"/>
        </w:numPr>
      </w:pPr>
      <w:r>
        <w:rPr/>
        <w:t xml:space="preserve">Tüm mirasçıların kimlik ve adres bilgileri.</w:t>
      </w:r>
    </w:p>
    <w:p>
      <w:pPr>
        <w:numPr>
          <w:ilvl w:val="0"/>
          <w:numId w:val="3"/>
        </w:numPr>
      </w:pPr>
      <w:r>
        <w:rPr/>
        <w:t xml:space="preserve">Terekeye dahil olan tüm malvarlığı değerlerinin (taşınır, taşınmaz, banka hesapları, alacaklar vb.) detaylı listesi.</w:t>
      </w:r>
    </w:p>
    <w:p>
      <w:pPr>
        <w:numPr>
          <w:ilvl w:val="0"/>
          <w:numId w:val="3"/>
        </w:numPr>
      </w:pPr>
      <w:r>
        <w:rPr/>
        <w:t xml:space="preserve">Hangi malın hangi mirasçıya bırakıldığının açık ve net bir şekilde belirtilmesi.</w:t>
      </w:r>
    </w:p>
    <w:p>
      <w:pPr>
        <w:numPr>
          <w:ilvl w:val="0"/>
          <w:numId w:val="3"/>
        </w:numPr>
      </w:pPr>
      <w:r>
        <w:rPr/>
        <w:t xml:space="preserve">Gerekirse denkleştirme ve ivaz (karşılık) bedellerinin belirtilmesi.</w:t>
      </w:r>
    </w:p>
    <w:p>
      <w:pPr>
        <w:numPr>
          <w:ilvl w:val="0"/>
          <w:numId w:val="3"/>
        </w:numPr>
      </w:pPr>
      <w:r>
        <w:rPr/>
        <w:t xml:space="preserve">Sözleşmenin düzenlendiği tarih ve yer.</w:t>
      </w:r>
    </w:p>
    <w:p>
      <w:pPr>
        <w:numPr>
          <w:ilvl w:val="0"/>
          <w:numId w:val="3"/>
        </w:numPr>
      </w:pPr>
      <w:r>
        <w:rPr/>
        <w:t xml:space="preserve">Tüm mirasçıların ıslak imzası.</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3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5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2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2025-12-06T05:46:28+00:00</dcterms:created>
  <dcterms:modified xsi:type="dcterms:W3CDTF">2025-12-06T05:46:28+00:00</dcterms:modified>
</cp:coreProperties>
</file>

<file path=docProps/custom.xml><?xml version="1.0" encoding="utf-8"?>
<Properties xmlns="http://schemas.openxmlformats.org/officeDocument/2006/custom-properties" xmlns:vt="http://schemas.openxmlformats.org/officeDocument/2006/docPropsVTypes"/>
</file>