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TCK 188/3: Uyuşturucu Ticareti Suçu, Cezası ve Yargıtay Kararları</w:t>
      </w:r>
      <w:bookmarkEnd w:id="0"/>
    </w:p>
    <w:p>
      <w:pPr>
        <w:pStyle w:val="Heading2"/>
      </w:pPr>
      <w:r>
        <w:rPr/>
        <w:t xml:space="preserve">Türk Ceza Kanunu Madde 188/3 Nedir?</w:t>
      </w:r>
    </w:p>
    <w:p>
      <w:pPr/>
      <w:r>
        <w:rPr/>
        <w:t xml:space="preserve">Türk Ceza Kanunu'nun (TCK) 188. maddesinin 3. fıkrası, uyuşturucu veya uyarıcı maddelerin ülke içinde ticaretini düzenleyen ve bu suçu işleyenlere verilecek cezaları belirleyen temel kanun maddesidir. Bu madde, toplum sağlığını ve kamu düzenini korumayı amaçlar. Madde metni, uyuşturucu madde ticaretini oluşturan çeşitli eylemleri açıkça sıralamaktadır.</w:t>
      </w:r>
    </w:p>
    <w:p>
      <w:pPr>
        <w:pStyle w:val="Heading2"/>
      </w:pPr>
      <w:r>
        <w:rPr/>
        <w:t xml:space="preserve">TCK 188/3 Kapsamındaki Suçlar Nelerdir?</w:t>
      </w:r>
    </w:p>
    <w:p>
      <w:pPr/>
      <w:r>
        <w:rPr/>
        <w:t xml:space="preserve">Kanun, uyuşturucu veya uyarıcı maddelerin ruhsatsız veya ruhsata aykırı olarak ticaretini suç sayar. Bu kapsamda cezalandırılan eylemler şunlardır:</w:t>
      </w:r>
    </w:p>
    <w:p>
      <w:pPr>
        <w:numPr>
          <w:ilvl w:val="0"/>
          <w:numId w:val="1"/>
        </w:numPr>
      </w:pPr>
      <w:r>
        <w:rPr>
          <w:b w:val="1"/>
          <w:bCs w:val="1"/>
        </w:rPr>
        <w:t xml:space="preserve">Satmak:</w:t>
      </w:r>
      <w:r>
        <w:rPr/>
        <w:t xml:space="preserve"> Maddenin bir bedel karşılığında başkasına devredilmesi.</w:t>
      </w:r>
    </w:p>
    <w:p>
      <w:pPr>
        <w:numPr>
          <w:ilvl w:val="0"/>
          <w:numId w:val="1"/>
        </w:numPr>
      </w:pPr>
      <w:r>
        <w:rPr>
          <w:b w:val="1"/>
          <w:bCs w:val="1"/>
        </w:rPr>
        <w:t xml:space="preserve">Satışa arz etmek:</w:t>
      </w:r>
      <w:r>
        <w:rPr/>
        <w:t xml:space="preserve"> Maddenin satışı için müşteri arandığını gösteren her türlü davranış.</w:t>
      </w:r>
    </w:p>
    <w:p>
      <w:pPr>
        <w:numPr>
          <w:ilvl w:val="0"/>
          <w:numId w:val="1"/>
        </w:numPr>
      </w:pPr>
      <w:r>
        <w:rPr>
          <w:b w:val="1"/>
          <w:bCs w:val="1"/>
        </w:rPr>
        <w:t xml:space="preserve">Başkalarına vermek:</w:t>
      </w:r>
      <w:r>
        <w:rPr/>
        <w:t xml:space="preserve"> Bedelsiz olarak, hediye veya başka bir amaçla maddeyi devretmek (temin etme).</w:t>
      </w:r>
    </w:p>
    <w:p>
      <w:pPr>
        <w:numPr>
          <w:ilvl w:val="0"/>
          <w:numId w:val="1"/>
        </w:numPr>
      </w:pPr>
      <w:r>
        <w:rPr>
          <w:b w:val="1"/>
          <w:bCs w:val="1"/>
        </w:rPr>
        <w:t xml:space="preserve">Sevk etmek:</w:t>
      </w:r>
      <w:r>
        <w:rPr/>
        <w:t xml:space="preserve"> Maddenin bir yerden başka bir yere gönderilmesini sağlamak.</w:t>
      </w:r>
    </w:p>
    <w:p>
      <w:pPr>
        <w:numPr>
          <w:ilvl w:val="0"/>
          <w:numId w:val="1"/>
        </w:numPr>
      </w:pPr>
      <w:r>
        <w:rPr>
          <w:b w:val="1"/>
          <w:bCs w:val="1"/>
        </w:rPr>
        <w:t xml:space="preserve">Nakletmek:</w:t>
      </w:r>
      <w:r>
        <w:rPr/>
        <w:t xml:space="preserve"> Maddenin bir yerden başka bir yere bizzat taşınması.</w:t>
      </w:r>
    </w:p>
    <w:p>
      <w:pPr>
        <w:numPr>
          <w:ilvl w:val="0"/>
          <w:numId w:val="1"/>
        </w:numPr>
      </w:pPr>
      <w:r>
        <w:rPr>
          <w:b w:val="1"/>
          <w:bCs w:val="1"/>
        </w:rPr>
        <w:t xml:space="preserve">Depolamak:</w:t>
      </w:r>
      <w:r>
        <w:rPr/>
        <w:t xml:space="preserve"> Maddenin daha sonra kullanılmak veya satılmak üzere saklanması.</w:t>
      </w:r>
    </w:p>
    <w:p>
      <w:pPr>
        <w:numPr>
          <w:ilvl w:val="0"/>
          <w:numId w:val="1"/>
        </w:numPr>
      </w:pPr>
      <w:r>
        <w:rPr>
          <w:b w:val="1"/>
          <w:bCs w:val="1"/>
        </w:rPr>
        <w:t xml:space="preserve">Satın almak:</w:t>
      </w:r>
      <w:r>
        <w:rPr/>
        <w:t xml:space="preserve"> Ticari amaçla maddeyi bedel karşılığı temin etmek.</w:t>
      </w:r>
    </w:p>
    <w:p>
      <w:pPr>
        <w:numPr>
          <w:ilvl w:val="0"/>
          <w:numId w:val="1"/>
        </w:numPr>
      </w:pPr>
      <w:r>
        <w:rPr>
          <w:b w:val="1"/>
          <w:bCs w:val="1"/>
        </w:rPr>
        <w:t xml:space="preserve">Kabul etmek:</w:t>
      </w:r>
      <w:r>
        <w:rPr/>
        <w:t xml:space="preserve"> Ticari amaçla maddeyi bedelsiz olarak devralmak.</w:t>
      </w:r>
    </w:p>
    <w:p>
      <w:pPr>
        <w:numPr>
          <w:ilvl w:val="0"/>
          <w:numId w:val="1"/>
        </w:numPr>
      </w:pPr>
      <w:r>
        <w:rPr>
          <w:b w:val="1"/>
          <w:bCs w:val="1"/>
        </w:rPr>
        <w:t xml:space="preserve">Bulundurmak:</w:t>
      </w:r>
      <w:r>
        <w:rPr/>
        <w:t xml:space="preserve"> Ticari amaçla madde üzerinde fiili hakimiyet kurmak.</w:t>
      </w:r>
    </w:p>
    <w:p>
      <w:pPr/>
      <w:r>
        <w:rPr/>
        <w:t xml:space="preserve">Buradaki en önemli unsur 'ticaret kastı'dır. Eğer bu eylemler kişisel kullanım amacıyla yapılıyorsa, TCK 188/3 değil, daha farklı hükümler içeren TCK 191 (Kullanmak için uyuşturucu madde bulundurma) gündeme gelir.</w:t>
      </w:r>
    </w:p>
    <w:p>
      <w:pPr>
        <w:pStyle w:val="Heading2"/>
      </w:pPr>
      <w:r>
        <w:rPr/>
        <w:t xml:space="preserve">TCK 188/3 Suçunun Cezası Nedir?</w:t>
      </w:r>
    </w:p>
    <w:p>
      <w:pPr/>
      <w:r>
        <w:rPr/>
        <w:t xml:space="preserve">Uyuşturucu ticareti suçu, Türk Ceza Kanunu'ndaki en ağır cezalardan birini öngörür. TCK 188/3'e göre bu suçu işleyen kişi:</w:t>
      </w:r>
    </w:p>
    <w:p>
      <w:pPr>
        <w:numPr>
          <w:ilvl w:val="0"/>
          <w:numId w:val="2"/>
        </w:numPr>
      </w:pPr>
      <w:r>
        <w:rPr>
          <w:b w:val="1"/>
          <w:bCs w:val="1"/>
        </w:rPr>
        <w:t xml:space="preserve">On yıldan az olmamak üzere hapis cezası</w:t>
      </w:r>
      <w:r>
        <w:rPr/>
        <w:t xml:space="preserve">,</w:t>
      </w:r>
    </w:p>
    <w:p>
      <w:pPr>
        <w:numPr>
          <w:ilvl w:val="0"/>
          <w:numId w:val="2"/>
        </w:numPr>
      </w:pPr>
      <w:r>
        <w:rPr/>
        <w:t xml:space="preserve">Ve </w:t>
      </w:r>
      <w:r>
        <w:rPr>
          <w:b w:val="1"/>
          <w:bCs w:val="1"/>
        </w:rPr>
        <w:t xml:space="preserve">bin günden yirmi bin güne kadar adlî para cezası</w:t>
      </w:r>
      <w:r>
        <w:rPr/>
        <w:t xml:space="preserve"> ile cezalandırılır.</w:t>
      </w:r>
    </w:p>
    <w:p>
      <w:pPr/>
      <w:r>
        <w:rPr/>
        <w:t xml:space="preserve">Hapis cezasının alt sınırının 10 yıl olması, bu suçun ciddiyetini göstermektedir. Adli para cezası ise, kişinin ekonomik durumu göz önünde bulundurularak belirlenen bir günlük tutarın, karardaki gün sayısı ile çarpılmasıyla hesaplanır.</w:t>
      </w:r>
    </w:p>
    <w:p>
      <w:pPr>
        <w:pStyle w:val="Heading2"/>
      </w:pPr>
      <w:r>
        <w:rPr/>
        <w:t xml:space="preserve">Uyuşturucu Ticareti (TCK 188) ve Kişisel Kullanım (TCK 191) Ayrımı Nasıl Yapılır?</w:t>
      </w:r>
    </w:p>
    <w:p>
      <w:pPr/>
      <w:r>
        <w:rPr/>
        <w:t xml:space="preserve">Yargıtay, bir eylemin ticaret mi yoksa kişisel kullanım mı olduğunu belirlerken bazı kriterleri dikkate alır. Bu kriterler şunlardır:</w:t>
      </w:r>
    </w:p>
    <w:p>
      <w:pPr>
        <w:numPr>
          <w:ilvl w:val="0"/>
          <w:numId w:val="3"/>
        </w:numPr>
      </w:pPr>
      <w:r>
        <w:rPr>
          <w:b w:val="1"/>
          <w:bCs w:val="1"/>
        </w:rPr>
        <w:t xml:space="preserve">Ele Geçirilen Madde Miktarı:</w:t>
      </w:r>
      <w:r>
        <w:rPr/>
        <w:t xml:space="preserve"> Kişinin yıllık kullanım miktarını aşan miktarlar genellikle ticaret kastına işaret eder.</w:t>
      </w:r>
    </w:p>
    <w:p>
      <w:pPr>
        <w:numPr>
          <w:ilvl w:val="0"/>
          <w:numId w:val="3"/>
        </w:numPr>
      </w:pPr>
      <w:r>
        <w:rPr>
          <w:b w:val="1"/>
          <w:bCs w:val="1"/>
        </w:rPr>
        <w:t xml:space="preserve">Bulundurma Şekli:</w:t>
      </w:r>
      <w:r>
        <w:rPr/>
        <w:t xml:space="preserve"> Uyuşturucunun küçük paketçikler halinde, satışa hazır bir şekilde bulundurulması ticaret şüphesini güçlendirir.</w:t>
      </w:r>
    </w:p>
    <w:p>
      <w:pPr>
        <w:numPr>
          <w:ilvl w:val="0"/>
          <w:numId w:val="3"/>
        </w:numPr>
      </w:pPr>
      <w:r>
        <w:rPr>
          <w:b w:val="1"/>
          <w:bCs w:val="1"/>
        </w:rPr>
        <w:t xml:space="preserve">Diğer Deliller:</w:t>
      </w:r>
      <w:r>
        <w:rPr/>
        <w:t xml:space="preserve"> Sanığın evinde veya üzerinde hassas terazi, paketleme malzemeleri, çok sayıda telefon hattı veya suçtan elde edildiği düşünülen yüklü miktarda para bulunması gibi deliller ticaret kastını gösterir.</w:t>
      </w:r>
    </w:p>
    <w:p>
      <w:pPr>
        <w:numPr>
          <w:ilvl w:val="0"/>
          <w:numId w:val="3"/>
        </w:numPr>
      </w:pPr>
      <w:r>
        <w:rPr>
          <w:b w:val="1"/>
          <w:bCs w:val="1"/>
        </w:rPr>
        <w:t xml:space="preserve">Sanığın Davranışları:</w:t>
      </w:r>
      <w:r>
        <w:rPr/>
        <w:t xml:space="preserve"> Sanığın ekonomik durumu, maddeyi nasıl temin ettiği ve başkalarıyla olan ilişkileri de değerlendirilir.</w:t>
      </w:r>
    </w:p>
    <w:p>
      <w:pPr>
        <w:pStyle w:val="Heading2"/>
      </w:pPr>
      <w:r>
        <w:rPr/>
        <w:t xml:space="preserve">TCK 188/3'te Etkin Pişmanlık Mümkün müdür?</w:t>
      </w:r>
    </w:p>
    <w:p>
      <w:pPr/>
      <w:r>
        <w:rPr/>
        <w:t xml:space="preserve">Evet, TCK 192 maddesi uyarınca uyuşturucu ticareti suçlarında etkin pişmanlık hükümleri uygulanabilir. Bu, failin suç sonrası göstereceği pişmanlık ve adli makamlara yapacağı yardım karşılığında ceza indirimi almasını sağlar.</w:t>
      </w:r>
    </w:p>
    <w:p>
      <w:pPr>
        <w:numPr>
          <w:ilvl w:val="0"/>
          <w:numId w:val="4"/>
        </w:numPr>
      </w:pPr>
      <w:r>
        <w:rPr>
          <w:b w:val="1"/>
          <w:bCs w:val="1"/>
        </w:rPr>
        <w:t xml:space="preserve">Soruşturma Başlamadan Önce:</w:t>
      </w:r>
      <w:r>
        <w:rPr/>
        <w:t xml:space="preserve"> Suç ortaklarını veya maddelerin saklandığı yerleri merciine haber veren kişiye ceza verilmez.</w:t>
      </w:r>
    </w:p>
    <w:p>
      <w:pPr>
        <w:numPr>
          <w:ilvl w:val="0"/>
          <w:numId w:val="4"/>
        </w:numPr>
      </w:pPr>
      <w:r>
        <w:rPr>
          <w:b w:val="1"/>
          <w:bCs w:val="1"/>
        </w:rPr>
        <w:t xml:space="preserve">Soruşturma Sırasında:</w:t>
      </w:r>
      <w:r>
        <w:rPr/>
        <w:t xml:space="preserve"> Suçun ortaya çıkmasına veya diğer faillerin yakalanmasına hizmet ve yardım eden kişiye verilecek cezada, yardımın niteliğine göre dörtte birden yarısına kadar indirim yapılır.</w:t>
      </w:r>
    </w:p>
    <w:p>
      <w:pPr>
        <w:pStyle w:val="Heading2"/>
      </w:pPr>
      <w:r>
        <w:rPr/>
        <w:t xml:space="preserve">Görevli Mahkeme Hangisidir?</w:t>
      </w:r>
    </w:p>
    <w:p>
      <w:pPr/>
      <w:r>
        <w:rPr/>
        <w:t xml:space="preserve">TCK 188/3 uyarınca açılan davalara bakmakla görevli mahkeme </w:t>
      </w:r>
      <w:r>
        <w:rPr>
          <w:b w:val="1"/>
          <w:bCs w:val="1"/>
        </w:rPr>
        <w:t xml:space="preserve">Ağır Ceza Mahkemesi</w:t>
      </w:r>
      <w:r>
        <w:rPr/>
        <w:t xml:space="preserve">'dir.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6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F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1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C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2025-12-06T07:07:23+00:00</dcterms:created>
  <dcterms:modified xsi:type="dcterms:W3CDTF">2025-12-06T07:07:23+00:00</dcterms:modified>
</cp:coreProperties>
</file>

<file path=docProps/custom.xml><?xml version="1.0" encoding="utf-8"?>
<Properties xmlns="http://schemas.openxmlformats.org/officeDocument/2006/custom-properties" xmlns:vt="http://schemas.openxmlformats.org/officeDocument/2006/docPropsVTypes"/>
</file>